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2E" w:rsidRPr="000F2D2C" w:rsidRDefault="00E3602E" w:rsidP="000F2D2C">
      <w:pPr>
        <w:jc w:val="center"/>
        <w:rPr>
          <w:rFonts w:ascii="Arial" w:hAnsi="Arial" w:cs="Arial"/>
          <w:sz w:val="24"/>
          <w:szCs w:val="24"/>
        </w:rPr>
      </w:pPr>
      <w:r w:rsidRPr="000F2D2C">
        <w:rPr>
          <w:rFonts w:ascii="Arial" w:hAnsi="Arial" w:cs="Arial"/>
          <w:b/>
          <w:bCs/>
          <w:sz w:val="24"/>
          <w:szCs w:val="24"/>
        </w:rPr>
        <w:t>Предоставление информации</w:t>
      </w:r>
    </w:p>
    <w:p w:rsidR="00E3602E" w:rsidRPr="000F2D2C" w:rsidRDefault="00050CBD" w:rsidP="00300E29">
      <w:pPr>
        <w:jc w:val="both"/>
        <w:rPr>
          <w:rFonts w:ascii="Arial" w:hAnsi="Arial" w:cs="Arial"/>
          <w:b/>
        </w:rPr>
      </w:pPr>
      <w:hyperlink r:id="rId6" w:anchor="f" w:history="1">
        <w:r w:rsidR="00E3602E" w:rsidRPr="000F2D2C">
          <w:rPr>
            <w:rStyle w:val="a3"/>
            <w:rFonts w:ascii="Arial" w:hAnsi="Arial" w:cs="Arial"/>
            <w:b/>
          </w:rPr>
          <w:t>Публичное акционерное общество «</w:t>
        </w:r>
        <w:r w:rsidR="00300E29" w:rsidRPr="000F2D2C">
          <w:rPr>
            <w:rStyle w:val="a3"/>
            <w:rFonts w:ascii="Arial" w:hAnsi="Arial" w:cs="Arial"/>
            <w:b/>
          </w:rPr>
          <w:t>Владимирский химический завод</w:t>
        </w:r>
        <w:r w:rsidR="00E3602E" w:rsidRPr="000F2D2C">
          <w:rPr>
            <w:rStyle w:val="a3"/>
            <w:rFonts w:ascii="Arial" w:hAnsi="Arial" w:cs="Arial"/>
            <w:b/>
          </w:rPr>
          <w:t>» в соответствии со статьями </w:t>
        </w:r>
        <w:r w:rsidR="000F2D2C">
          <w:rPr>
            <w:rStyle w:val="a3"/>
            <w:rFonts w:ascii="Arial" w:hAnsi="Arial" w:cs="Arial"/>
            <w:b/>
          </w:rPr>
          <w:t xml:space="preserve"> </w:t>
        </w:r>
        <w:r w:rsidR="00E3602E" w:rsidRPr="000F2D2C">
          <w:rPr>
            <w:rStyle w:val="a3"/>
            <w:rFonts w:ascii="Arial" w:hAnsi="Arial" w:cs="Arial"/>
            <w:b/>
          </w:rPr>
          <w:t>89 и 91 Федерального закона</w:t>
        </w:r>
        <w:r w:rsidR="00300E29" w:rsidRPr="000F2D2C">
          <w:rPr>
            <w:rStyle w:val="a3"/>
            <w:rFonts w:ascii="Arial" w:hAnsi="Arial" w:cs="Arial"/>
            <w:b/>
          </w:rPr>
          <w:t xml:space="preserve"> №208-ФЗ</w:t>
        </w:r>
        <w:r w:rsidR="00E3602E" w:rsidRPr="000F2D2C">
          <w:rPr>
            <w:rStyle w:val="a3"/>
            <w:rFonts w:ascii="Arial" w:hAnsi="Arial" w:cs="Arial"/>
            <w:b/>
          </w:rPr>
          <w:t xml:space="preserve"> «Об акционерных обществах» обязано обеспечить акционерам </w:t>
        </w:r>
        <w:r w:rsidR="00300E29" w:rsidRPr="000F2D2C">
          <w:rPr>
            <w:rStyle w:val="a3"/>
            <w:rFonts w:ascii="Arial" w:hAnsi="Arial" w:cs="Arial"/>
            <w:b/>
          </w:rPr>
          <w:t>Общества</w:t>
        </w:r>
        <w:r w:rsidR="00E3602E" w:rsidRPr="000F2D2C">
          <w:rPr>
            <w:rStyle w:val="a3"/>
            <w:rFonts w:ascii="Arial" w:hAnsi="Arial" w:cs="Arial"/>
            <w:b/>
          </w:rPr>
          <w:t xml:space="preserve"> доступ к следующим документам:</w:t>
        </w:r>
      </w:hyperlink>
    </w:p>
    <w:p w:rsidR="00E3602E" w:rsidRPr="000F2D2C" w:rsidRDefault="00E3602E" w:rsidP="00300E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>Устав</w:t>
      </w:r>
      <w:r w:rsidR="00300E29" w:rsidRPr="000F2D2C">
        <w:rPr>
          <w:rFonts w:ascii="Arial" w:hAnsi="Arial" w:cs="Arial"/>
        </w:rPr>
        <w:t>у</w:t>
      </w:r>
      <w:r w:rsidRPr="000F2D2C">
        <w:rPr>
          <w:rFonts w:ascii="Arial" w:hAnsi="Arial" w:cs="Arial"/>
        </w:rPr>
        <w:t xml:space="preserve"> </w:t>
      </w:r>
      <w:r w:rsidR="00300E29" w:rsidRPr="000F2D2C">
        <w:rPr>
          <w:rFonts w:ascii="Arial" w:hAnsi="Arial" w:cs="Arial"/>
        </w:rPr>
        <w:t>Общества</w:t>
      </w:r>
      <w:r w:rsidRPr="000F2D2C">
        <w:rPr>
          <w:rFonts w:ascii="Arial" w:hAnsi="Arial" w:cs="Arial"/>
        </w:rPr>
        <w:t xml:space="preserve">, изменениям и дополнениям, внесенным в Устав </w:t>
      </w:r>
      <w:r w:rsidR="00300E29" w:rsidRPr="000F2D2C">
        <w:rPr>
          <w:rFonts w:ascii="Arial" w:hAnsi="Arial" w:cs="Arial"/>
        </w:rPr>
        <w:t>Общества</w:t>
      </w:r>
      <w:r w:rsidRPr="000F2D2C">
        <w:rPr>
          <w:rFonts w:ascii="Arial" w:hAnsi="Arial" w:cs="Arial"/>
        </w:rPr>
        <w:t xml:space="preserve"> и зарегистрированным в установленном порядке, решению о создании </w:t>
      </w:r>
      <w:r w:rsidR="00300E29" w:rsidRPr="000F2D2C">
        <w:rPr>
          <w:rFonts w:ascii="Arial" w:hAnsi="Arial" w:cs="Arial"/>
        </w:rPr>
        <w:t>Общества</w:t>
      </w:r>
      <w:r w:rsidRPr="000F2D2C">
        <w:rPr>
          <w:rFonts w:ascii="Arial" w:hAnsi="Arial" w:cs="Arial"/>
        </w:rPr>
        <w:t>;</w:t>
      </w:r>
    </w:p>
    <w:p w:rsidR="00E3602E" w:rsidRPr="000F2D2C" w:rsidRDefault="00E3602E" w:rsidP="00300E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>документу, подтверждающему государственную регистрацию</w:t>
      </w:r>
      <w:r w:rsidR="00300E29" w:rsidRPr="000F2D2C">
        <w:rPr>
          <w:rFonts w:ascii="Arial" w:hAnsi="Arial" w:cs="Arial"/>
        </w:rPr>
        <w:t xml:space="preserve"> Общества</w:t>
      </w:r>
      <w:r w:rsidRPr="000F2D2C">
        <w:rPr>
          <w:rFonts w:ascii="Arial" w:hAnsi="Arial" w:cs="Arial"/>
        </w:rPr>
        <w:t>;</w:t>
      </w:r>
    </w:p>
    <w:p w:rsidR="00E3602E" w:rsidRPr="000F2D2C" w:rsidRDefault="00E3602E" w:rsidP="00300E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>решению о выпуске (дополнительном выпуске) ценных бумаг, изменениям в решение о выпуске (дополнительном выпуске) ценных бумаг, отчету об итогах выпуска (дополнительного выпуска) ценных бумаг, уведомлению об итогах выпуска (дополнительного выпуска) ценных бумаг;</w:t>
      </w:r>
    </w:p>
    <w:p w:rsidR="00E3602E" w:rsidRPr="000F2D2C" w:rsidRDefault="00E3602E" w:rsidP="00300E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 xml:space="preserve">внутренним документам </w:t>
      </w:r>
      <w:r w:rsidR="00300E29" w:rsidRPr="000F2D2C">
        <w:rPr>
          <w:rFonts w:ascii="Arial" w:hAnsi="Arial" w:cs="Arial"/>
        </w:rPr>
        <w:t>Общества</w:t>
      </w:r>
      <w:r w:rsidRPr="000F2D2C">
        <w:rPr>
          <w:rFonts w:ascii="Arial" w:hAnsi="Arial" w:cs="Arial"/>
        </w:rPr>
        <w:t xml:space="preserve">, регулирующим деятельность органов и утвержденным Общим собранием акционеров </w:t>
      </w:r>
      <w:r w:rsidR="00FA0B2E">
        <w:rPr>
          <w:rFonts w:ascii="Arial" w:hAnsi="Arial" w:cs="Arial"/>
        </w:rPr>
        <w:t>Общества</w:t>
      </w:r>
      <w:r w:rsidRPr="000F2D2C">
        <w:rPr>
          <w:rFonts w:ascii="Arial" w:hAnsi="Arial" w:cs="Arial"/>
        </w:rPr>
        <w:t>;</w:t>
      </w:r>
    </w:p>
    <w:p w:rsidR="00E3602E" w:rsidRPr="000F2D2C" w:rsidRDefault="00E3602E" w:rsidP="00300E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>положени</w:t>
      </w:r>
      <w:r w:rsidR="00300E29" w:rsidRPr="000F2D2C">
        <w:rPr>
          <w:rFonts w:ascii="Arial" w:hAnsi="Arial" w:cs="Arial"/>
        </w:rPr>
        <w:t>е</w:t>
      </w:r>
      <w:r w:rsidRPr="000F2D2C">
        <w:rPr>
          <w:rFonts w:ascii="Arial" w:hAnsi="Arial" w:cs="Arial"/>
        </w:rPr>
        <w:t xml:space="preserve"> о филиале или представительстве </w:t>
      </w:r>
      <w:r w:rsidR="00300E29" w:rsidRPr="000F2D2C">
        <w:rPr>
          <w:rFonts w:ascii="Arial" w:hAnsi="Arial" w:cs="Arial"/>
        </w:rPr>
        <w:t>Общества</w:t>
      </w:r>
      <w:r w:rsidRPr="000F2D2C">
        <w:rPr>
          <w:rFonts w:ascii="Arial" w:hAnsi="Arial" w:cs="Arial"/>
        </w:rPr>
        <w:t>;</w:t>
      </w:r>
    </w:p>
    <w:p w:rsidR="00E3602E" w:rsidRPr="000F2D2C" w:rsidRDefault="00E3602E" w:rsidP="00300E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>годовым отчетам;</w:t>
      </w:r>
    </w:p>
    <w:p w:rsidR="00E3602E" w:rsidRPr="000F2D2C" w:rsidRDefault="00E3602E" w:rsidP="00300E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 xml:space="preserve">годовой бухгалтерской (финансовой) отчетности </w:t>
      </w:r>
      <w:r w:rsidR="00300E29" w:rsidRPr="000F2D2C">
        <w:rPr>
          <w:rFonts w:ascii="Arial" w:hAnsi="Arial" w:cs="Arial"/>
        </w:rPr>
        <w:t>Общества</w:t>
      </w:r>
      <w:r w:rsidRPr="000F2D2C">
        <w:rPr>
          <w:rFonts w:ascii="Arial" w:hAnsi="Arial" w:cs="Arial"/>
        </w:rPr>
        <w:t xml:space="preserve"> и аудиторскому заключению о ней;</w:t>
      </w:r>
    </w:p>
    <w:p w:rsidR="00E3602E" w:rsidRPr="000F2D2C" w:rsidRDefault="00E3602E" w:rsidP="00300E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 xml:space="preserve">отчетам оценщиков в случаях выкупа акций </w:t>
      </w:r>
      <w:r w:rsidR="00300E29" w:rsidRPr="000F2D2C">
        <w:rPr>
          <w:rFonts w:ascii="Arial" w:hAnsi="Arial" w:cs="Arial"/>
        </w:rPr>
        <w:t>Общества</w:t>
      </w:r>
      <w:r w:rsidRPr="000F2D2C">
        <w:rPr>
          <w:rFonts w:ascii="Arial" w:hAnsi="Arial" w:cs="Arial"/>
        </w:rPr>
        <w:t xml:space="preserve"> по требованию акционера, формируемые в соответствии с требованиями Федерального закона «Об акционерных обществах»;</w:t>
      </w:r>
    </w:p>
    <w:p w:rsidR="00E3602E" w:rsidRPr="000F2D2C" w:rsidRDefault="00E3602E" w:rsidP="00300E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 xml:space="preserve">документам, полученным </w:t>
      </w:r>
      <w:r w:rsidR="00300E29" w:rsidRPr="000F2D2C">
        <w:rPr>
          <w:rFonts w:ascii="Arial" w:hAnsi="Arial" w:cs="Arial"/>
        </w:rPr>
        <w:t>Обществом</w:t>
      </w:r>
      <w:r w:rsidRPr="000F2D2C">
        <w:rPr>
          <w:rFonts w:ascii="Arial" w:hAnsi="Arial" w:cs="Arial"/>
        </w:rPr>
        <w:t xml:space="preserve"> в соответствии с главой XI.1 Федерального закона «Об акционерных обществах»;</w:t>
      </w:r>
    </w:p>
    <w:p w:rsidR="00E3602E" w:rsidRPr="000F2D2C" w:rsidRDefault="00E3602E" w:rsidP="00300E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 xml:space="preserve">протоколам Общих собраний акционеров </w:t>
      </w:r>
      <w:r w:rsidR="00300E29" w:rsidRPr="000F2D2C">
        <w:rPr>
          <w:rFonts w:ascii="Arial" w:hAnsi="Arial" w:cs="Arial"/>
        </w:rPr>
        <w:t>Общества</w:t>
      </w:r>
      <w:r w:rsidRPr="000F2D2C">
        <w:rPr>
          <w:rFonts w:ascii="Arial" w:hAnsi="Arial" w:cs="Arial"/>
        </w:rPr>
        <w:t>;</w:t>
      </w:r>
    </w:p>
    <w:p w:rsidR="00E3602E" w:rsidRPr="000F2D2C" w:rsidRDefault="00E3602E" w:rsidP="00300E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 xml:space="preserve">спискам аффилированных лиц </w:t>
      </w:r>
      <w:r w:rsidR="00300E29" w:rsidRPr="000F2D2C">
        <w:rPr>
          <w:rFonts w:ascii="Arial" w:hAnsi="Arial" w:cs="Arial"/>
        </w:rPr>
        <w:t>Общества</w:t>
      </w:r>
      <w:r w:rsidRPr="000F2D2C">
        <w:rPr>
          <w:rFonts w:ascii="Arial" w:hAnsi="Arial" w:cs="Arial"/>
        </w:rPr>
        <w:t>;</w:t>
      </w:r>
    </w:p>
    <w:p w:rsidR="00E3602E" w:rsidRPr="000F2D2C" w:rsidRDefault="00E3602E" w:rsidP="00300E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 xml:space="preserve">заключениям Ревизионной комиссии </w:t>
      </w:r>
      <w:r w:rsidR="00300E29" w:rsidRPr="000F2D2C">
        <w:rPr>
          <w:rFonts w:ascii="Arial" w:hAnsi="Arial" w:cs="Arial"/>
        </w:rPr>
        <w:t>Общества</w:t>
      </w:r>
      <w:r w:rsidRPr="000F2D2C">
        <w:rPr>
          <w:rFonts w:ascii="Arial" w:hAnsi="Arial" w:cs="Arial"/>
        </w:rPr>
        <w:t>;</w:t>
      </w:r>
    </w:p>
    <w:p w:rsidR="00E3602E" w:rsidRPr="000F2D2C" w:rsidRDefault="00E3602E" w:rsidP="00300E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>проспектам ценных бумаг, ежеквартальным отчетам эмитента и иным документам, содержащим информацию, подлежащую опубликованию или раскрытию иным способом в соответствии с Федеральным законом «Об акционерных обществах» и другими федеральными законами;</w:t>
      </w:r>
    </w:p>
    <w:p w:rsidR="00E3602E" w:rsidRPr="000F2D2C" w:rsidRDefault="00E3602E" w:rsidP="00300E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 xml:space="preserve">уведомлениям о заключении акционерных соглашений, направленные </w:t>
      </w:r>
      <w:r w:rsidR="00300E29" w:rsidRPr="000F2D2C">
        <w:rPr>
          <w:rFonts w:ascii="Arial" w:hAnsi="Arial" w:cs="Arial"/>
        </w:rPr>
        <w:t>Обществу</w:t>
      </w:r>
      <w:r w:rsidRPr="000F2D2C">
        <w:rPr>
          <w:rFonts w:ascii="Arial" w:hAnsi="Arial" w:cs="Arial"/>
        </w:rPr>
        <w:t>, а также спискам лиц, заключивших такие соглашения;</w:t>
      </w:r>
    </w:p>
    <w:p w:rsidR="00E3602E" w:rsidRDefault="00E3602E" w:rsidP="00300E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 xml:space="preserve">судебным решениям и постановлениям по спорам, связанным с созданием </w:t>
      </w:r>
      <w:r w:rsidR="00300E29" w:rsidRPr="000F2D2C">
        <w:rPr>
          <w:rFonts w:ascii="Arial" w:hAnsi="Arial" w:cs="Arial"/>
        </w:rPr>
        <w:t>Общества</w:t>
      </w:r>
      <w:r w:rsidRPr="000F2D2C">
        <w:rPr>
          <w:rFonts w:ascii="Arial" w:hAnsi="Arial" w:cs="Arial"/>
        </w:rPr>
        <w:t xml:space="preserve">, управлением </w:t>
      </w:r>
      <w:r w:rsidR="00300E29" w:rsidRPr="000F2D2C">
        <w:rPr>
          <w:rFonts w:ascii="Arial" w:hAnsi="Arial" w:cs="Arial"/>
        </w:rPr>
        <w:t>Обществом</w:t>
      </w:r>
      <w:r w:rsidRPr="000F2D2C">
        <w:rPr>
          <w:rFonts w:ascii="Arial" w:hAnsi="Arial" w:cs="Arial"/>
        </w:rPr>
        <w:t xml:space="preserve"> или участием в </w:t>
      </w:r>
      <w:r w:rsidR="00300E29" w:rsidRPr="000F2D2C">
        <w:rPr>
          <w:rFonts w:ascii="Arial" w:hAnsi="Arial" w:cs="Arial"/>
        </w:rPr>
        <w:t>Обществе</w:t>
      </w:r>
      <w:r w:rsidRPr="000F2D2C">
        <w:rPr>
          <w:rFonts w:ascii="Arial" w:hAnsi="Arial" w:cs="Arial"/>
        </w:rPr>
        <w:t>, а также судебным актам по таким спорам, в том числе определениям о возбуждении арбитражным судом производства по делу и принятии искового заявления либо заявлениям об изменении основания или предмета ранее заявленного иска.</w:t>
      </w:r>
    </w:p>
    <w:p w:rsidR="000F2D2C" w:rsidRPr="000F2D2C" w:rsidRDefault="000F2D2C" w:rsidP="000F2D2C">
      <w:pPr>
        <w:ind w:left="720"/>
        <w:jc w:val="both"/>
        <w:rPr>
          <w:rFonts w:ascii="Arial" w:hAnsi="Arial" w:cs="Arial"/>
        </w:rPr>
      </w:pPr>
    </w:p>
    <w:p w:rsidR="007B2A34" w:rsidRPr="00050CBD" w:rsidRDefault="007B2A34" w:rsidP="007B2A34">
      <w:pPr>
        <w:ind w:firstLine="708"/>
        <w:jc w:val="both"/>
        <w:rPr>
          <w:rStyle w:val="a3"/>
          <w:rFonts w:ascii="Arial" w:hAnsi="Arial" w:cs="Arial"/>
          <w:b/>
        </w:rPr>
      </w:pPr>
      <w:r w:rsidRPr="00050CBD">
        <w:rPr>
          <w:rStyle w:val="a3"/>
          <w:rFonts w:ascii="Arial" w:hAnsi="Arial" w:cs="Arial"/>
          <w:b/>
        </w:rPr>
        <w:lastRenderedPageBreak/>
        <w:t>По требованию акционера (акционеров), владеющего не менее чем одним процентом голосующих акций Общества, ПАО «ВХЗ» обязано обеспечить доступ к следующим информации и документам:</w:t>
      </w:r>
    </w:p>
    <w:p w:rsidR="007B2A34" w:rsidRPr="007B2A34" w:rsidRDefault="007B2A34" w:rsidP="007B2A34">
      <w:pPr>
        <w:ind w:firstLine="708"/>
        <w:jc w:val="both"/>
        <w:rPr>
          <w:rFonts w:ascii="Arial" w:hAnsi="Arial" w:cs="Arial"/>
        </w:rPr>
      </w:pPr>
      <w:bookmarkStart w:id="0" w:name="sub_91021"/>
      <w:proofErr w:type="gramStart"/>
      <w:r w:rsidRPr="007B2A34">
        <w:rPr>
          <w:rFonts w:ascii="Arial" w:hAnsi="Arial" w:cs="Arial"/>
        </w:rPr>
        <w:t>1) информация, касающаяся сделок (односторонних сделок), являющихся в соответствии с Федеральным законом крупными сделками и (или) сделками, в совершении которых имеется заинтересованность, в том числе вид, предмет, содержание и размер таких сделок, дата их совершения и срок исполнения обязательств по ним, сведения о принятии решения о получении согласия на совершение или о последующем одобрении таких сделок;</w:t>
      </w:r>
      <w:proofErr w:type="gramEnd"/>
    </w:p>
    <w:p w:rsidR="007B2A34" w:rsidRPr="007B2A34" w:rsidRDefault="007B2A34" w:rsidP="007B2A34">
      <w:pPr>
        <w:ind w:firstLine="708"/>
        <w:jc w:val="both"/>
        <w:rPr>
          <w:rFonts w:ascii="Arial" w:hAnsi="Arial" w:cs="Arial"/>
        </w:rPr>
      </w:pPr>
      <w:bookmarkStart w:id="1" w:name="sub_91022"/>
      <w:bookmarkEnd w:id="0"/>
      <w:r w:rsidRPr="007B2A34">
        <w:rPr>
          <w:rFonts w:ascii="Arial" w:hAnsi="Arial" w:cs="Arial"/>
        </w:rPr>
        <w:t>2) протоколы заседаний совета директоров (наблюдательного совета) общества;</w:t>
      </w:r>
    </w:p>
    <w:p w:rsidR="007B2A34" w:rsidRPr="007B2A34" w:rsidRDefault="007B2A34" w:rsidP="007B2A34">
      <w:pPr>
        <w:ind w:firstLine="708"/>
        <w:jc w:val="both"/>
        <w:rPr>
          <w:rFonts w:ascii="Arial" w:hAnsi="Arial" w:cs="Arial"/>
        </w:rPr>
      </w:pPr>
      <w:bookmarkStart w:id="2" w:name="sub_91023"/>
      <w:bookmarkEnd w:id="1"/>
      <w:proofErr w:type="gramStart"/>
      <w:r w:rsidRPr="007B2A34">
        <w:rPr>
          <w:rFonts w:ascii="Arial" w:hAnsi="Arial" w:cs="Arial"/>
        </w:rPr>
        <w:t>3) отчеты оценщиков об оценке имущества, в отношении которого обществом совершались сделки, которые в соответствии с Федеральным законом являются крупными сделками и (или) сделками, в совершении которых имеется заинтересованность.</w:t>
      </w:r>
      <w:proofErr w:type="gramEnd"/>
    </w:p>
    <w:bookmarkEnd w:id="2"/>
    <w:p w:rsidR="007B2A34" w:rsidRPr="007B2A34" w:rsidRDefault="007B2A34" w:rsidP="007B2A34">
      <w:pPr>
        <w:ind w:firstLine="708"/>
        <w:jc w:val="both"/>
        <w:rPr>
          <w:rFonts w:ascii="Arial" w:hAnsi="Arial" w:cs="Arial"/>
        </w:rPr>
      </w:pPr>
      <w:r w:rsidRPr="007B2A34">
        <w:rPr>
          <w:rFonts w:ascii="Arial" w:hAnsi="Arial" w:cs="Arial"/>
        </w:rPr>
        <w:t xml:space="preserve">В требовании акционера (акционеров), владеющего менее чем </w:t>
      </w:r>
      <w:r>
        <w:rPr>
          <w:rFonts w:ascii="Arial" w:hAnsi="Arial" w:cs="Arial"/>
        </w:rPr>
        <w:t>25 процентами голосующих акций О</w:t>
      </w:r>
      <w:r w:rsidRPr="007B2A34">
        <w:rPr>
          <w:rFonts w:ascii="Arial" w:hAnsi="Arial" w:cs="Arial"/>
        </w:rPr>
        <w:t>бщества, о предоставлении документов и информации, должна быть указана деловая цель, с которой запрашиваются документы.</w:t>
      </w:r>
    </w:p>
    <w:p w:rsidR="00050CBD" w:rsidRPr="00050CBD" w:rsidRDefault="00050CBD" w:rsidP="00050CBD">
      <w:pPr>
        <w:ind w:firstLine="708"/>
        <w:jc w:val="both"/>
        <w:rPr>
          <w:rStyle w:val="a3"/>
        </w:rPr>
      </w:pPr>
      <w:hyperlink r:id="rId7" w:anchor="f" w:history="1">
        <w:r w:rsidRPr="000F2D2C">
          <w:rPr>
            <w:rStyle w:val="a3"/>
            <w:rFonts w:ascii="Arial" w:hAnsi="Arial" w:cs="Arial"/>
            <w:b/>
          </w:rPr>
          <w:t xml:space="preserve">К документам бухгалтерского учета имеют право доступа акционеры (акционер) ПАО «ВХЗ», имеющие в совокупности не менее 25 процентов голосующих акций </w:t>
        </w:r>
        <w:r>
          <w:rPr>
            <w:rStyle w:val="a3"/>
            <w:rFonts w:ascii="Arial" w:hAnsi="Arial" w:cs="Arial"/>
            <w:b/>
          </w:rPr>
          <w:t>Общества</w:t>
        </w:r>
        <w:r w:rsidRPr="000F2D2C">
          <w:rPr>
            <w:rStyle w:val="a3"/>
            <w:rFonts w:ascii="Arial" w:hAnsi="Arial" w:cs="Arial"/>
            <w:b/>
          </w:rPr>
          <w:t>.</w:t>
        </w:r>
      </w:hyperlink>
    </w:p>
    <w:p w:rsidR="00050CBD" w:rsidRDefault="00050CBD" w:rsidP="001A046C">
      <w:pPr>
        <w:ind w:firstLine="708"/>
        <w:jc w:val="both"/>
        <w:rPr>
          <w:rFonts w:ascii="Arial" w:hAnsi="Arial" w:cs="Arial"/>
        </w:rPr>
      </w:pPr>
    </w:p>
    <w:p w:rsidR="00E3602E" w:rsidRPr="000F2D2C" w:rsidRDefault="00E3602E" w:rsidP="001A046C">
      <w:pPr>
        <w:ind w:firstLine="708"/>
        <w:jc w:val="both"/>
        <w:rPr>
          <w:rFonts w:ascii="Arial" w:hAnsi="Arial" w:cs="Arial"/>
        </w:rPr>
      </w:pPr>
      <w:bookmarkStart w:id="3" w:name="_GoBack"/>
      <w:bookmarkEnd w:id="3"/>
      <w:r w:rsidRPr="000F2D2C">
        <w:rPr>
          <w:rFonts w:ascii="Arial" w:hAnsi="Arial" w:cs="Arial"/>
        </w:rPr>
        <w:t>Документы должны быть предоставлены ПАО «</w:t>
      </w:r>
      <w:r w:rsidR="006566F4" w:rsidRPr="000F2D2C">
        <w:rPr>
          <w:rFonts w:ascii="Arial" w:hAnsi="Arial" w:cs="Arial"/>
        </w:rPr>
        <w:t>ВХЗ</w:t>
      </w:r>
      <w:r w:rsidRPr="000F2D2C">
        <w:rPr>
          <w:rFonts w:ascii="Arial" w:hAnsi="Arial" w:cs="Arial"/>
        </w:rPr>
        <w:t xml:space="preserve">» для ознакомления в помещении исполнительного органа </w:t>
      </w:r>
      <w:r w:rsidR="006566F4" w:rsidRPr="000F2D2C">
        <w:rPr>
          <w:rFonts w:ascii="Arial" w:hAnsi="Arial" w:cs="Arial"/>
        </w:rPr>
        <w:t>Общества</w:t>
      </w:r>
      <w:r w:rsidRPr="000F2D2C">
        <w:rPr>
          <w:rFonts w:ascii="Arial" w:hAnsi="Arial" w:cs="Arial"/>
        </w:rPr>
        <w:t xml:space="preserve"> в течение срока, установленного действующим законодательством Российской Федерации.</w:t>
      </w:r>
    </w:p>
    <w:p w:rsidR="00E3602E" w:rsidRPr="000F2D2C" w:rsidRDefault="00E3602E" w:rsidP="001A046C">
      <w:pPr>
        <w:ind w:firstLine="708"/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>ПАО «</w:t>
      </w:r>
      <w:r w:rsidR="006566F4" w:rsidRPr="000F2D2C">
        <w:rPr>
          <w:rFonts w:ascii="Arial" w:hAnsi="Arial" w:cs="Arial"/>
        </w:rPr>
        <w:t>ВХЗ</w:t>
      </w:r>
      <w:r w:rsidRPr="000F2D2C">
        <w:rPr>
          <w:rFonts w:ascii="Arial" w:hAnsi="Arial" w:cs="Arial"/>
        </w:rPr>
        <w:t xml:space="preserve">» обязано по требованию лиц, имеющих право доступа к вышеуказанным документам, предоставить им копии указанных документов. Плата, взимаемая </w:t>
      </w:r>
      <w:r w:rsidR="006566F4" w:rsidRPr="000F2D2C">
        <w:rPr>
          <w:rFonts w:ascii="Arial" w:hAnsi="Arial" w:cs="Arial"/>
        </w:rPr>
        <w:t>Обществом</w:t>
      </w:r>
      <w:r w:rsidRPr="000F2D2C">
        <w:rPr>
          <w:rFonts w:ascii="Arial" w:hAnsi="Arial" w:cs="Arial"/>
        </w:rPr>
        <w:t xml:space="preserve"> за предоставление данных копий, не может превышать затрат на их изготовление.</w:t>
      </w:r>
    </w:p>
    <w:p w:rsidR="00E3602E" w:rsidRDefault="00E3602E" w:rsidP="001A046C">
      <w:pPr>
        <w:ind w:firstLine="708"/>
        <w:jc w:val="both"/>
        <w:rPr>
          <w:rFonts w:ascii="Arial" w:hAnsi="Arial" w:cs="Arial"/>
        </w:rPr>
      </w:pPr>
      <w:proofErr w:type="gramStart"/>
      <w:r w:rsidRPr="000F2D2C">
        <w:rPr>
          <w:rFonts w:ascii="Arial" w:hAnsi="Arial" w:cs="Arial"/>
        </w:rPr>
        <w:t>ПАО «</w:t>
      </w:r>
      <w:r w:rsidR="006566F4" w:rsidRPr="000F2D2C">
        <w:rPr>
          <w:rFonts w:ascii="Arial" w:hAnsi="Arial" w:cs="Arial"/>
        </w:rPr>
        <w:t>ВХЗ</w:t>
      </w:r>
      <w:r w:rsidRPr="000F2D2C">
        <w:rPr>
          <w:rFonts w:ascii="Arial" w:hAnsi="Arial" w:cs="Arial"/>
        </w:rPr>
        <w:t xml:space="preserve">» обязано предоставлять копию каждого сообщения, публикуемого </w:t>
      </w:r>
      <w:r w:rsidR="006566F4" w:rsidRPr="000F2D2C">
        <w:rPr>
          <w:rFonts w:ascii="Arial" w:hAnsi="Arial" w:cs="Arial"/>
        </w:rPr>
        <w:t>Обществом</w:t>
      </w:r>
      <w:r w:rsidRPr="000F2D2C">
        <w:rPr>
          <w:rFonts w:ascii="Arial" w:hAnsi="Arial" w:cs="Arial"/>
        </w:rPr>
        <w:t xml:space="preserve"> в соответствии с Положением Банка России от 30 декабря 2014 года № 454-П «О раскрытии информации эмитентами эмиссионных ценных бумаг», а также копию зарегистрированных решения о выпуске (дополнительном выпуске) ценных бумаг, проспекта ценных бумаг и изменений к ним, отчета об итогах выпуска (дополнительного выпуска) ценных бумаг, копию уведомления об итогах выпуска (дополнительного</w:t>
      </w:r>
      <w:proofErr w:type="gramEnd"/>
      <w:r w:rsidRPr="000F2D2C">
        <w:rPr>
          <w:rFonts w:ascii="Arial" w:hAnsi="Arial" w:cs="Arial"/>
        </w:rPr>
        <w:t xml:space="preserve"> </w:t>
      </w:r>
      <w:proofErr w:type="gramStart"/>
      <w:r w:rsidRPr="000F2D2C">
        <w:rPr>
          <w:rFonts w:ascii="Arial" w:hAnsi="Arial" w:cs="Arial"/>
        </w:rPr>
        <w:t>выпуска) ценных бумаг, копию ежеквартального отчета, копию сводной бухгалтерской (консолидированной финансовой) отчетности, копию иных документов, обязательное раскрытие которых предусмотрено разделом VII указанного Положения, владельцам ценных бумаг ПАО «</w:t>
      </w:r>
      <w:r w:rsidR="006566F4" w:rsidRPr="000F2D2C">
        <w:rPr>
          <w:rFonts w:ascii="Arial" w:hAnsi="Arial" w:cs="Arial"/>
        </w:rPr>
        <w:t>ВХЗ</w:t>
      </w:r>
      <w:r w:rsidRPr="000F2D2C">
        <w:rPr>
          <w:rFonts w:ascii="Arial" w:hAnsi="Arial" w:cs="Arial"/>
        </w:rPr>
        <w:t xml:space="preserve">» и иным заинтересованным лицам по их требованию за плату, не превышающую расходы по изготовлению такой копии, в </w:t>
      </w:r>
      <w:r w:rsidR="006566F4" w:rsidRPr="000F2D2C">
        <w:rPr>
          <w:rFonts w:ascii="Arial" w:hAnsi="Arial" w:cs="Arial"/>
        </w:rPr>
        <w:t>течение семи рабочих дней</w:t>
      </w:r>
      <w:r w:rsidRPr="000F2D2C">
        <w:rPr>
          <w:rFonts w:ascii="Arial" w:hAnsi="Arial" w:cs="Arial"/>
        </w:rPr>
        <w:t xml:space="preserve"> с</w:t>
      </w:r>
      <w:r w:rsidR="000F2D2C" w:rsidRPr="000F2D2C">
        <w:rPr>
          <w:rFonts w:ascii="Arial" w:hAnsi="Arial" w:cs="Arial"/>
        </w:rPr>
        <w:t>о дня предъявления</w:t>
      </w:r>
      <w:r w:rsidRPr="000F2D2C">
        <w:rPr>
          <w:rFonts w:ascii="Arial" w:hAnsi="Arial" w:cs="Arial"/>
        </w:rPr>
        <w:t xml:space="preserve"> соответствующего требования.</w:t>
      </w:r>
      <w:proofErr w:type="gramEnd"/>
    </w:p>
    <w:p w:rsidR="00E3602E" w:rsidRPr="000F2D2C" w:rsidRDefault="000F2D2C" w:rsidP="001A046C">
      <w:pPr>
        <w:ind w:firstLine="708"/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>Д</w:t>
      </w:r>
      <w:r w:rsidR="00E3602E" w:rsidRPr="000F2D2C">
        <w:rPr>
          <w:rFonts w:ascii="Arial" w:hAnsi="Arial" w:cs="Arial"/>
        </w:rPr>
        <w:t xml:space="preserve">оступ к документам (выдача копий документов) производится по предъявлении соответствующего требования, составленного в произвольной письменной форме на имя руководителя </w:t>
      </w:r>
      <w:r w:rsidRPr="000F2D2C">
        <w:rPr>
          <w:rFonts w:ascii="Arial" w:hAnsi="Arial" w:cs="Arial"/>
        </w:rPr>
        <w:t>Общества</w:t>
      </w:r>
      <w:r w:rsidR="00E3602E" w:rsidRPr="000F2D2C">
        <w:rPr>
          <w:rFonts w:ascii="Arial" w:hAnsi="Arial" w:cs="Arial"/>
        </w:rPr>
        <w:t xml:space="preserve">. В требовании указывается фамилия, имя и отчество обратившегося лица (для юридического лица — наименование и место нахождения), количество и категория (тип) принадлежащих ему акций и наименование запрашиваемого документа, вид требования (об ознакомлении с документами и (или) получение копий документов). Акционер, подавший </w:t>
      </w:r>
      <w:r w:rsidR="00E3602E" w:rsidRPr="000F2D2C">
        <w:rPr>
          <w:rFonts w:ascii="Arial" w:hAnsi="Arial" w:cs="Arial"/>
        </w:rPr>
        <w:lastRenderedPageBreak/>
        <w:t xml:space="preserve">требование, вправе представить выписку из реестра владельцев именных ценных бумаг, подтверждающую владение им акциями </w:t>
      </w:r>
      <w:r w:rsidRPr="000F2D2C">
        <w:rPr>
          <w:rFonts w:ascii="Arial" w:hAnsi="Arial" w:cs="Arial"/>
        </w:rPr>
        <w:t>Общества</w:t>
      </w:r>
      <w:r w:rsidR="00E3602E" w:rsidRPr="000F2D2C">
        <w:rPr>
          <w:rFonts w:ascii="Arial" w:hAnsi="Arial" w:cs="Arial"/>
        </w:rPr>
        <w:t>.</w:t>
      </w:r>
    </w:p>
    <w:p w:rsidR="00E3602E" w:rsidRDefault="00E3602E" w:rsidP="001A046C">
      <w:pPr>
        <w:ind w:firstLine="708"/>
        <w:jc w:val="both"/>
        <w:rPr>
          <w:rFonts w:ascii="Arial" w:hAnsi="Arial" w:cs="Arial"/>
        </w:rPr>
      </w:pPr>
      <w:r w:rsidRPr="000F2D2C">
        <w:rPr>
          <w:rFonts w:ascii="Arial" w:hAnsi="Arial" w:cs="Arial"/>
        </w:rPr>
        <w:t>Акционер, подавший требование, в случае если принадлежащие ему акции ПАО «</w:t>
      </w:r>
      <w:r w:rsidR="000F2D2C">
        <w:rPr>
          <w:rFonts w:ascii="Arial" w:hAnsi="Arial" w:cs="Arial"/>
        </w:rPr>
        <w:t>ВХЗ</w:t>
      </w:r>
      <w:r w:rsidRPr="000F2D2C">
        <w:rPr>
          <w:rFonts w:ascii="Arial" w:hAnsi="Arial" w:cs="Arial"/>
        </w:rPr>
        <w:t xml:space="preserve">» находятся в номинальном держании, обязан представить выписку по счету депо у номинального держателя, подтверждающую владение им акциями </w:t>
      </w:r>
      <w:r w:rsidR="000F2D2C">
        <w:rPr>
          <w:rFonts w:ascii="Arial" w:hAnsi="Arial" w:cs="Arial"/>
        </w:rPr>
        <w:t>Общества</w:t>
      </w:r>
      <w:r w:rsidRPr="000F2D2C">
        <w:rPr>
          <w:rFonts w:ascii="Arial" w:hAnsi="Arial" w:cs="Arial"/>
        </w:rPr>
        <w:t>.</w:t>
      </w:r>
    </w:p>
    <w:p w:rsidR="001A046C" w:rsidRPr="000F2D2C" w:rsidRDefault="001A046C" w:rsidP="001A046C">
      <w:pPr>
        <w:ind w:firstLine="708"/>
        <w:jc w:val="both"/>
        <w:rPr>
          <w:rFonts w:ascii="Arial" w:hAnsi="Arial" w:cs="Arial"/>
        </w:rPr>
      </w:pPr>
    </w:p>
    <w:sectPr w:rsidR="001A046C" w:rsidRPr="000F2D2C" w:rsidSect="009B75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7B6A"/>
    <w:multiLevelType w:val="multilevel"/>
    <w:tmpl w:val="B832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87811"/>
    <w:multiLevelType w:val="multilevel"/>
    <w:tmpl w:val="EB9A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2E"/>
    <w:rsid w:val="00050CBD"/>
    <w:rsid w:val="000F2D2C"/>
    <w:rsid w:val="001A046C"/>
    <w:rsid w:val="00243D66"/>
    <w:rsid w:val="00246D04"/>
    <w:rsid w:val="00300E29"/>
    <w:rsid w:val="006566F4"/>
    <w:rsid w:val="006C22CD"/>
    <w:rsid w:val="007B2A34"/>
    <w:rsid w:val="00933C86"/>
    <w:rsid w:val="009B75A6"/>
    <w:rsid w:val="00E3602E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3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0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0" w:color="FECF00"/>
                    <w:right w:val="none" w:sz="0" w:space="0" w:color="auto"/>
                  </w:divBdr>
                </w:div>
                <w:div w:id="1455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59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0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0" w:color="FECF00"/>
                    <w:right w:val="none" w:sz="0" w:space="0" w:color="auto"/>
                  </w:divBdr>
                </w:div>
                <w:div w:id="3968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9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5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0" w:color="FECF00"/>
                    <w:right w:val="none" w:sz="0" w:space="0" w:color="auto"/>
                  </w:divBdr>
                </w:div>
                <w:div w:id="20963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3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0" w:color="FECF00"/>
                    <w:right w:val="none" w:sz="0" w:space="0" w:color="auto"/>
                  </w:divBdr>
                </w:div>
                <w:div w:id="696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8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6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0" w:color="FECF00"/>
                    <w:right w:val="none" w:sz="0" w:space="0" w:color="auto"/>
                  </w:divBdr>
                </w:div>
                <w:div w:id="4712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5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8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0" w:color="FECF00"/>
                    <w:right w:val="none" w:sz="0" w:space="0" w:color="auto"/>
                  </w:divBdr>
                </w:div>
                <w:div w:id="9204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neft.ru/Investors/shareholders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neft.ru/Investors/shareholders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ПАО ВХЗ</dc:creator>
  <cp:lastModifiedBy>ПАО ВХЗ</cp:lastModifiedBy>
  <cp:revision>12</cp:revision>
  <cp:lastPrinted>2018-07-17T08:21:00Z</cp:lastPrinted>
  <dcterms:created xsi:type="dcterms:W3CDTF">2018-07-17T07:04:00Z</dcterms:created>
  <dcterms:modified xsi:type="dcterms:W3CDTF">2018-07-19T11:52:00Z</dcterms:modified>
</cp:coreProperties>
</file>